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7F037DA" wp14:editId="059B8668">
                <wp:simplePos x="0" y="0"/>
                <wp:positionH relativeFrom="column">
                  <wp:posOffset>-232410</wp:posOffset>
                </wp:positionH>
                <wp:positionV relativeFrom="paragraph">
                  <wp:posOffset>-314325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pt;margin-top:-24.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fmQwIAADA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" stroked="f">
                <v:textbox style="mso-fit-shape-to-text:t">
                  <w:txbxContent>
                    <w:p w:rsidR="002B2AE2" w:rsidRPr="00A55B25" w:rsidRDefault="002B2AE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LqP/FFF&#10;AgAANwQAAA4AAAAAAAAAAAAAAAAALgIAAGRycy9lMm9Eb2MueG1sUEsBAi0AFAAGAAgAAAAhAGeN&#10;7ZHhAAAACwEAAA8AAAAAAAAAAAAAAAAAnwQAAGRycy9kb3ducmV2LnhtbFBLBQYAAAAABAAEAPMA&#10;AACtBQAAAAA=&#10;" stroked="f">
                <v:textbox style="mso-fit-shape-to-text:t">
                  <w:txbxContent>
                    <w:p w:rsidR="002B2AE2" w:rsidRPr="00A55B25" w:rsidRDefault="002B2AE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NFeIHxG&#10;AgAANwQAAA4AAAAAAAAAAAAAAAAALgIAAGRycy9lMm9Eb2MueG1sUEsBAi0AFAAGAAgAAAAhAAnq&#10;WLrgAAAACwEAAA8AAAAAAAAAAAAAAAAAoAQAAGRycy9kb3ducmV2LnhtbFBLBQYAAAAABAAEAPMA&#10;AACtBQAAAAA=&#10;" stroked="f">
                <v:textbox style="mso-fit-shape-to-text:t">
                  <w:txbxContent>
                    <w:p w:rsidR="002B2AE2" w:rsidRPr="00A55B25" w:rsidRDefault="002B2AE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lastRenderedPageBreak/>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ADx7xi&#10;RgIAADcEAAAOAAAAAAAAAAAAAAAAAC4CAABkcnMvZTJvRG9jLnhtbFBLAQItABQABgAIAAAAIQAr&#10;mutL4QAAAAsBAAAPAAAAAAAAAAAAAAAAAKAEAABkcnMvZG93bnJldi54bWxQSwUGAAAAAAQABADz&#10;AAAArgUAAAAA&#10;" stroked="f">
                <v:textbox style="mso-fit-shape-to-text:t">
                  <w:txbxContent>
                    <w:p w:rsidR="002B2AE2" w:rsidRPr="00A55B25" w:rsidRDefault="002B2AE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w:t>
      </w:r>
      <w:r w:rsidR="002B2AE2">
        <w:rPr>
          <w:rFonts w:asciiTheme="minorEastAsia" w:hAnsiTheme="minorEastAsia" w:hint="eastAsia"/>
          <w:color w:val="000000" w:themeColor="text1"/>
          <w:sz w:val="16"/>
          <w:szCs w:val="16"/>
        </w:rPr>
        <w:t>1</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lastRenderedPageBreak/>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8E0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MhRg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" stroked="f">
                <v:textbox style="mso-fit-shape-to-text:t">
                  <w:txbxContent>
                    <w:p w:rsidR="002B2AE2" w:rsidRPr="00A55B25" w:rsidRDefault="002B2AE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w:t>
      </w:r>
      <w:r w:rsidR="000E07D6" w:rsidRPr="00671AAB">
        <w:rPr>
          <w:rFonts w:hint="eastAsia"/>
          <w:color w:val="000000" w:themeColor="text1"/>
          <w:sz w:val="22"/>
        </w:rPr>
        <w:lastRenderedPageBreak/>
        <w:t>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11F34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0242E1"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C169A8" w:rsidRDefault="00C169A8" w:rsidP="007339DF">
      <w:pPr>
        <w:ind w:left="480" w:hangingChars="300" w:hanging="480"/>
        <w:rPr>
          <w:rFonts w:ascii="ＭＳ 明朝" w:hAnsi="ＭＳ 明朝"/>
          <w:sz w:val="16"/>
          <w:szCs w:val="16"/>
        </w:rPr>
      </w:pPr>
    </w:p>
    <w:p w:rsidR="00C169A8" w:rsidRDefault="00C169A8" w:rsidP="007339DF">
      <w:pPr>
        <w:ind w:left="480" w:hangingChars="300" w:hanging="480"/>
        <w:rPr>
          <w:rFonts w:ascii="ＭＳ 明朝" w:hAnsi="ＭＳ 明朝"/>
          <w:sz w:val="16"/>
          <w:szCs w:val="16"/>
        </w:rPr>
      </w:pPr>
    </w:p>
    <w:p w:rsidR="005630AD" w:rsidRPr="00424A43" w:rsidRDefault="00DE732E" w:rsidP="00DB4A5E">
      <w:pPr>
        <w:rPr>
          <w:rFonts w:ascii="ＭＳ 明朝" w:hAnsi="ＭＳ 明朝"/>
          <w:b/>
          <w:sz w:val="22"/>
        </w:rPr>
      </w:pPr>
      <w:r w:rsidRPr="00424A43">
        <w:rPr>
          <w:rFonts w:ascii="ＭＳ 明朝" w:hAnsi="ＭＳ 明朝" w:hint="eastAsia"/>
          <w:b/>
          <w:sz w:val="22"/>
        </w:rPr>
        <w:lastRenderedPageBreak/>
        <w:t>（１．から３．の各項目について記載内容が多い場合は、適宜、行数・ページ数を追加できます。）</w:t>
      </w: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2B2AE2" w:rsidRPr="00A55B25" w:rsidRDefault="002B2AE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" stroked="f">
                <v:textbox>
                  <w:txbxContent>
                    <w:p w:rsidR="002B2AE2" w:rsidRPr="00A55B25" w:rsidRDefault="002B2AE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C27F08"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" stroked="f">
                <v:textbox style="mso-fit-shape-to-text:t">
                  <w:txbxContent>
                    <w:p w:rsidR="002B2AE2" w:rsidRPr="00A55B25" w:rsidRDefault="002B2AE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Dj0Xqd&#10;RgIAADcEAAAOAAAAAAAAAAAAAAAAAC4CAABkcnMvZTJvRG9jLnhtbFBLAQItABQABgAIAAAAIQCJ&#10;+g+54QAAAAsBAAAPAAAAAAAAAAAAAAAAAKAEAABkcnMvZG93bnJldi54bWxQSwUGAAAAAAQABADz&#10;AAAArgUAAAAA&#10;" stroked="f">
                <v:textbox style="mso-fit-shape-to-text:t">
                  <w:txbxContent>
                    <w:p w:rsidR="002B2AE2" w:rsidRPr="00A55B25" w:rsidRDefault="002B2AE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9"/>
          <w:footerReference w:type="first" r:id="rId10"/>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832"/>
        <w:gridCol w:w="1351"/>
        <w:gridCol w:w="766"/>
        <w:gridCol w:w="1029"/>
        <w:gridCol w:w="992"/>
        <w:gridCol w:w="1559"/>
        <w:gridCol w:w="992"/>
        <w:gridCol w:w="993"/>
        <w:gridCol w:w="1134"/>
        <w:gridCol w:w="850"/>
        <w:gridCol w:w="1418"/>
        <w:gridCol w:w="1101"/>
        <w:gridCol w:w="149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1"/>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2AE2" w:rsidRPr="00A55B25" w:rsidRDefault="002B2AE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UHRg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AkRdUH&#10;RgIAADcEAAAOAAAAAAAAAAAAAAAAAC4CAABkcnMvZTJvRG9jLnhtbFBLAQItABQABgAIAAAAIQD6&#10;bNGm4QAAAAsBAAAPAAAAAAAAAAAAAAAAAKAEAABkcnMvZG93bnJldi54bWxQSwUGAAAAAAQABADz&#10;AAAArgUAAAAA&#10;" stroked="f">
                <v:textbox style="mso-fit-shape-to-text:t">
                  <w:txbxContent>
                    <w:p w:rsidR="002B2AE2" w:rsidRPr="00A55B25" w:rsidRDefault="002B2AE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B2AE2" w:rsidRPr="00C86555" w:rsidRDefault="002B2AE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B2AE2" w:rsidRPr="00C86555" w:rsidRDefault="002B2AE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B2AE2" w:rsidRPr="00B14B8F" w:rsidRDefault="002B2AE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2B2AE2" w:rsidRPr="00C86555" w:rsidRDefault="002B2AE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B2AE2" w:rsidRPr="00C86555" w:rsidRDefault="002B2AE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B2AE2" w:rsidRPr="00B14B8F" w:rsidRDefault="002B2AE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bookmarkStart w:id="0" w:name="_GoBack"/>
      <w:bookmarkEnd w:id="0"/>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2B6EA7">
      <w:footerReference w:type="first" r:id="rId12"/>
      <w:pgSz w:w="11906" w:h="16838" w:code="9"/>
      <w:pgMar w:top="1276" w:right="1418" w:bottom="1559" w:left="1418" w:header="851" w:footer="992" w:gutter="0"/>
      <w:pgNumType w:start="2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E2" w:rsidRDefault="002B2AE2" w:rsidP="008C07F8">
      <w:r>
        <w:separator/>
      </w:r>
    </w:p>
  </w:endnote>
  <w:endnote w:type="continuationSeparator" w:id="0">
    <w:p w:rsidR="002B2AE2" w:rsidRDefault="002B2AE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03305"/>
      <w:docPartObj>
        <w:docPartGallery w:val="Page Numbers (Bottom of Page)"/>
        <w:docPartUnique/>
      </w:docPartObj>
    </w:sdtPr>
    <w:sdtContent>
      <w:p w:rsidR="002B2AE2" w:rsidRDefault="002B2AE2">
        <w:pPr>
          <w:pStyle w:val="af"/>
          <w:jc w:val="center"/>
        </w:pPr>
      </w:p>
    </w:sdtContent>
  </w:sdt>
  <w:p w:rsidR="002B2AE2" w:rsidRDefault="002B2AE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E2" w:rsidRDefault="002B2AE2">
    <w:pPr>
      <w:pStyle w:val="af"/>
      <w:jc w:val="center"/>
    </w:pPr>
  </w:p>
  <w:p w:rsidR="002B2AE2" w:rsidRDefault="002B2AE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23225"/>
      <w:docPartObj>
        <w:docPartGallery w:val="Page Numbers (Bottom of Page)"/>
        <w:docPartUnique/>
      </w:docPartObj>
    </w:sdtPr>
    <w:sdtContent>
      <w:p w:rsidR="002B2AE2" w:rsidRDefault="002B2AE2">
        <w:pPr>
          <w:pStyle w:val="af"/>
          <w:jc w:val="center"/>
        </w:pPr>
      </w:p>
    </w:sdtContent>
  </w:sdt>
  <w:p w:rsidR="002B2AE2" w:rsidRDefault="002B2AE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E2" w:rsidRDefault="002B2AE2">
    <w:pPr>
      <w:pStyle w:val="af"/>
      <w:jc w:val="center"/>
    </w:pPr>
  </w:p>
  <w:p w:rsidR="002B2AE2" w:rsidRDefault="002B2AE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E2" w:rsidRDefault="002B2AE2" w:rsidP="008C07F8">
      <w:r>
        <w:separator/>
      </w:r>
    </w:p>
  </w:footnote>
  <w:footnote w:type="continuationSeparator" w:id="0">
    <w:p w:rsidR="002B2AE2" w:rsidRDefault="002B2AE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2AE2"/>
    <w:rsid w:val="002B49B6"/>
    <w:rsid w:val="002B4D7A"/>
    <w:rsid w:val="002B54C3"/>
    <w:rsid w:val="002B6EA7"/>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8BA"/>
    <w:rsid w:val="004E0B0C"/>
    <w:rsid w:val="004E21DA"/>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075E"/>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9A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992A-EF65-4040-881F-3D3F7683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2014</Words>
  <Characters>11481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2016-11-02T08:41:00Z</dcterms:created>
  <dcterms:modified xsi:type="dcterms:W3CDTF">2016-11-04T01:52:00Z</dcterms:modified>
</cp:coreProperties>
</file>